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w:t>
      </w:r>
    </w:p>
    <w:p>
      <w:r>
        <w:t>Bundesgericht (BGE), 2004-10-13, DE</w:t>
      </w:r>
    </w:p>
    <w:p>
      <w:r>
        <w:rPr>
          <w:b/>
        </w:rPr>
        <w:t xml:space="preserve">Quelle: </w:t>
      </w:r>
      <w:r>
        <w:t>https://mcp.opencaselaw.ch/entscheid/bge_131 V 1</w:t>
      </w:r>
    </w:p>
    <w:p>
      <w:r>
        <w:t>FR: ATF 131 V 1</w:t>
      </w:r>
    </w:p>
    <w:p>
      <w:r>
        <w:t>IT: DTF 131 V 1</w:t>
      </w:r>
    </w:p>
    <w:p>
      <w:pPr>
        <w:pStyle w:val="Heading2"/>
      </w:pPr>
      <w:r>
        <w:t>Regeste</w:t>
      </w:r>
    </w:p>
    <w:p>
      <w:r>
        <w:t>Regeste Art. 29bis ff. AHVG und Art. 50 ff. AHVV; Art. 29quinquies Abs. 3 und 4 AHVG, Art. 52f Abs. 2bis AHVV; Art. 122 ff. ZGB: Rentenberechnung. Die Vorschriften über die Berechnung der Renten der Alters- und Hinterlassenenversicherung stellen abgesehen von Art. 52f Abs. 2bis AHVV (Anrechnung von Erziehungsgutschriften bei geschiedenen oder unverheirateten Eltern, welchen die elterliche Sorge gemeinsam zusteht) zwingendes Recht dar. Der gegenseitige Verzicht der Ehegatten auf nacheheliche Unterhaltsleistungen und auf Leistungen im Hinblick auf die Altersvorsorge im Rahmen der 2. Säule hat daher nicht zur Folge, dass bei Eintritt des Versicherungsfalles (Alter oder Tod) die Renten ohne Einkommenssplitting zu berechnen wären. Dies gilt vorbehältlich anders lautender Staatsverträge auch für nicht in der Schweiz getroffene und nicht schweizerischem Recht unterliegende Scheidungsvereinbarungen. (Erw. 1.1)</w:t>
      </w:r>
    </w:p>
    <w:p>
      <w:pPr>
        <w:pStyle w:val="Heading2"/>
      </w:pPr>
      <w:r>
        <w:t>Erwägungen</w:t>
      </w:r>
    </w:p>
    <w:p>
      <w:r>
        <w:rPr>
          <w:b/>
        </w:rPr>
        <w:t>E. 1</w:t>
      </w:r>
    </w:p>
    <w:p>
      <w:r>
        <w:t>Juni 2002 in Kraft getretene Abkommen vom 21. Juni 1999 zwischen der Schweizerischen Eidgenossenschaft einerseits und der Europäischen Gemeinschaft und ihren Mitgliedstaaten andererseits über die Freizügigkeit (FZA) vor, dass in die Berechnung der Altersrente auch die in Deutschland zurückgelegten Versicherungszeiten einzubeziehen sind (vgl. BGE 130 V 51 ). Die als Folge des FZA geänderte Ermittlung der Rentenskala bei laufenden Teilrenten für die Zeit ab 1. Juni 2002 ist im Übrigen berücksichtigt worden. Die neue Berechnungsweise hat zu einer höheren anwendbaren Rentenskala (9) und damit zu einer Erhöhung der Altersrente von Fr. 189.- auf Fr. 243.- geführt (vgl. zum Ganzen Kreisschreiben zur Einführung der linearen Rentenskala bei laufenden Renten [KSLRS] gültig ab 1. Juni 2002; BGE 130 V 55 Erw. 5.4).</w:t>
      </w:r>
    </w:p>
    <w:p>
      <w:r>
        <w:rPr>
          <w:b/>
        </w:rPr>
        <w:t>E. 1.1</w:t>
      </w:r>
    </w:p>
    <w:p>
      <w:r>
        <w:t>Die Vorschriften über die Berechnung der Renten der Alters- und Hinterlassenenversicherung sind abgesehen vom hier nicht interessierenden Art. 52f Abs. 2 bis AHVV (Anrechnung von Erziehungsgutschriften bei geschiedenen oder unverheirateten Eltern, denen die elterliche Sorge gemeinsam zusteht) einer Vereinbarung grundsätzlich nicht zugänglich. Es handelt sich hiebei um zwingendes Recht. Die Regelung der Nebenfolgen einer Scheidung ist somit für die Rentenberechnung ohne Bedeutung. Der gegenseitige Verzicht der Ehegatten auf nacheheliche Unterhaltsleistungen und auf Leistungen im Hinblick auf die Altersvorsorge im Rahmen der 2. Säule (vgl. Art. 122 ff. ZGB ), soweit scheidungsrechtlich zulässig (SJ 2002 I S. 540 Erw. 4b), hat daher nicht zur Folge, dass bei Eintritt des Versicherungsfalles (Alter oder Tod) die Renten ohne Einkommenssplitting zu berechnen wären. Das muss umso mehr gelten, als die Rechtsfolgen eines solchen Verzichts in der Regel nicht oder zumindest kaum je in ihrer ganzen Tragweite absehbar sind. An AHV-Berechnungsvorschriften derogierende Scheidungsvereinbarungen wären mithin noch strengere Anforderungen zu stellen als bei einem Verzicht auf Versicherungsleistungen im Bereich der AHV und IV (vgl. dazu BGE 129 V 1 ). In diesem Urteil erachtete das Eidgenössische Versicherungsgericht den Verzicht einer Ehefrau auf die ihr seit 1. Dezember 1997 ausgerichtete Teilrente zu Gunsten einer Vollrente des Ehemannes samt Zusatzrente ab 1. Februar 2000 als unzulässig. Das soeben Gesagte, insbesondere die Ordnung gemäss Art. 29 quinquies Abs. 3 und 4 AHVG über das Einkommenssplitting, gilt vorbehältlich anders lautender Staatsverträge auch für nicht in der Schweiz getroffene und nicht schweizerischem Recht unterliegende Scheidungsvereinbarungen. Ebenfalls kommt es nicht auf Wohnsitz und Staatszugehörigkeit der anspruchsberechtigten Person an. Die am 19. Juni 1981 notariell beglaubigte Vereinbarung zwischen dem Beschwerdeführer und seiner damaligen Ehefrau über den gegenseitigen Verzicht auf die Durchführung des Versorgungsausgleichs gemäss §§ 1587 f. BGB hat somit für die Berechnung der schweizerischen Altersrente keine Bedeutung.</w:t>
      </w:r>
    </w:p>
    <w:p>
      <w:r>
        <w:rPr>
          <w:b/>
        </w:rPr>
        <w:t>E. 1.2</w:t>
      </w:r>
    </w:p>
    <w:p>
      <w:r>
        <w:t>Im Weitern sehen weder das Abkommen vom 25. Februar 1964 zwischen der Schweizerischen Eidgenossenschaft und der Bundesrepublik Deutschland über soziale Sicherheit noch das am BGE 131 V 1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